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52ABD" w14:textId="67604BD4" w:rsidR="00E3770F" w:rsidRPr="008A575B" w:rsidRDefault="00E3770F" w:rsidP="00B415BA">
      <w:pPr>
        <w:autoSpaceDE w:val="0"/>
        <w:autoSpaceDN w:val="0"/>
        <w:adjustRightInd w:val="0"/>
        <w:jc w:val="center"/>
        <w:rPr>
          <w:rFonts w:cs="Arial"/>
          <w:b/>
          <w:bCs/>
          <w:sz w:val="32"/>
        </w:rPr>
      </w:pPr>
      <w:r w:rsidRPr="008A575B">
        <w:rPr>
          <w:rFonts w:cs="Arial"/>
          <w:b/>
          <w:bCs/>
          <w:sz w:val="32"/>
        </w:rPr>
        <w:t>Gesetzliche Grundlagen für An</w:t>
      </w:r>
      <w:r w:rsidR="00B415BA">
        <w:rPr>
          <w:rFonts w:cs="Arial"/>
          <w:b/>
          <w:bCs/>
          <w:sz w:val="32"/>
        </w:rPr>
        <w:t>erkennungen</w:t>
      </w:r>
    </w:p>
    <w:p w14:paraId="07156151" w14:textId="77777777" w:rsidR="00D96B3A" w:rsidRDefault="00E3770F" w:rsidP="00B415BA">
      <w:pPr>
        <w:autoSpaceDE w:val="0"/>
        <w:autoSpaceDN w:val="0"/>
        <w:adjustRightInd w:val="0"/>
        <w:spacing w:before="240"/>
        <w:jc w:val="center"/>
        <w:rPr>
          <w:rFonts w:cs="Arial"/>
          <w:b/>
          <w:bCs/>
        </w:rPr>
      </w:pPr>
      <w:r w:rsidRPr="008A575B">
        <w:rPr>
          <w:rFonts w:cs="Arial"/>
          <w:b/>
          <w:bCs/>
        </w:rPr>
        <w:t>Hochschulgesetz 200</w:t>
      </w:r>
      <w:r w:rsidR="00D96B3A">
        <w:rPr>
          <w:rFonts w:cs="Arial"/>
          <w:b/>
          <w:bCs/>
        </w:rPr>
        <w:t xml:space="preserve">5 </w:t>
      </w:r>
      <w:proofErr w:type="spellStart"/>
      <w:r w:rsidR="00D96B3A">
        <w:rPr>
          <w:rFonts w:cs="Arial"/>
          <w:b/>
          <w:bCs/>
        </w:rPr>
        <w:t>i.d.g.F</w:t>
      </w:r>
      <w:proofErr w:type="spellEnd"/>
      <w:r w:rsidR="00D96B3A">
        <w:rPr>
          <w:rFonts w:cs="Arial"/>
          <w:b/>
          <w:bCs/>
        </w:rPr>
        <w:t>.</w:t>
      </w:r>
    </w:p>
    <w:p w14:paraId="029AC05D" w14:textId="0B4E9DC3" w:rsidR="008F4B3B" w:rsidRDefault="00654A83" w:rsidP="00E3770F">
      <w:pPr>
        <w:autoSpaceDE w:val="0"/>
        <w:autoSpaceDN w:val="0"/>
        <w:adjustRightInd w:val="0"/>
        <w:spacing w:before="240"/>
        <w:rPr>
          <w:rFonts w:cs="Arial"/>
          <w:b/>
          <w:bCs/>
        </w:rPr>
      </w:pPr>
      <w:r>
        <w:rPr>
          <w:rFonts w:cs="Arial"/>
          <w:b/>
          <w:bCs/>
        </w:rPr>
        <w:t>Begriffsbestimmungen</w:t>
      </w:r>
    </w:p>
    <w:p w14:paraId="64D176B8" w14:textId="78437C23" w:rsidR="00654A83" w:rsidRPr="00654A83" w:rsidRDefault="00654A83" w:rsidP="00654A83">
      <w:pPr>
        <w:spacing w:before="100" w:beforeAutospacing="1" w:after="100" w:afterAutospacing="1"/>
        <w:rPr>
          <w:rFonts w:cs="Arial"/>
          <w:sz w:val="20"/>
          <w:szCs w:val="24"/>
        </w:rPr>
      </w:pPr>
      <w:r w:rsidRPr="00EC48C7">
        <w:rPr>
          <w:rFonts w:cs="Arial"/>
          <w:sz w:val="20"/>
          <w:szCs w:val="24"/>
        </w:rPr>
        <w:t>§</w:t>
      </w:r>
      <w:r w:rsidR="00EB72F8" w:rsidRPr="00EC48C7">
        <w:rPr>
          <w:rFonts w:cs="Arial"/>
          <w:sz w:val="20"/>
          <w:szCs w:val="24"/>
        </w:rPr>
        <w:t xml:space="preserve"> </w:t>
      </w:r>
      <w:r w:rsidRPr="00EC48C7">
        <w:rPr>
          <w:rFonts w:cs="Arial"/>
          <w:sz w:val="20"/>
          <w:szCs w:val="24"/>
        </w:rPr>
        <w:t>35.</w:t>
      </w:r>
      <w:r w:rsidRPr="00654A83">
        <w:rPr>
          <w:rFonts w:cs="Arial"/>
          <w:sz w:val="20"/>
          <w:szCs w:val="24"/>
        </w:rPr>
        <w:t xml:space="preserve"> Im Anwendungsbereich dieses Bundesgesetzes gelten folgende Begriffsbestimmungen:</w:t>
      </w:r>
    </w:p>
    <w:p w14:paraId="21F070A0" w14:textId="52BDE6F1" w:rsidR="00654A83" w:rsidRPr="00EC48C7" w:rsidRDefault="00654A83" w:rsidP="00654A83">
      <w:pPr>
        <w:spacing w:before="100" w:beforeAutospacing="1" w:after="100" w:afterAutospacing="1"/>
        <w:rPr>
          <w:rFonts w:cs="Arial"/>
          <w:sz w:val="20"/>
          <w:szCs w:val="24"/>
        </w:rPr>
      </w:pPr>
      <w:r w:rsidRPr="00654A83">
        <w:rPr>
          <w:rFonts w:cs="Arial"/>
          <w:sz w:val="20"/>
          <w:szCs w:val="24"/>
        </w:rPr>
        <w:t>1.</w:t>
      </w:r>
      <w:r w:rsidRPr="00EC48C7">
        <w:rPr>
          <w:rFonts w:cs="Arial"/>
          <w:sz w:val="20"/>
          <w:szCs w:val="24"/>
        </w:rPr>
        <w:t xml:space="preserve"> </w:t>
      </w:r>
      <w:r w:rsidRPr="00654A83">
        <w:rPr>
          <w:rFonts w:cs="Arial"/>
          <w:sz w:val="20"/>
          <w:szCs w:val="24"/>
        </w:rPr>
        <w:t>Anerkannte postsekundäre Bildungseinrichtungen sind die Bildungseinrichtungen, die Studien im Ausmaß von mindestens sechs Semestern durchführen, bei denen die Zulassung die allgemeine Universitätsreife im Sinne dieses Bundesgesetzes oder bei künstlerischen Studien den Nachweis der künstlerischen Eignung voraussetzt, und die auf Grund der Rechtsvorschriften des Staates, in dem sie ihren Sitz haben, als Bildungseinrichtungen im Sinne dieser Begriffsbestimmung anerkannt sind.</w:t>
      </w:r>
    </w:p>
    <w:p w14:paraId="5A518A1C" w14:textId="013998BF" w:rsidR="00D336C8" w:rsidRPr="00EC48C7" w:rsidRDefault="00D336C8" w:rsidP="00654A83">
      <w:pPr>
        <w:spacing w:before="100" w:beforeAutospacing="1" w:after="100" w:afterAutospacing="1"/>
        <w:rPr>
          <w:rFonts w:cs="Arial"/>
          <w:sz w:val="20"/>
          <w:szCs w:val="24"/>
        </w:rPr>
      </w:pPr>
      <w:r w:rsidRPr="00EC48C7">
        <w:rPr>
          <w:rFonts w:cs="Arial"/>
          <w:sz w:val="20"/>
          <w:szCs w:val="24"/>
        </w:rPr>
        <w:t>…</w:t>
      </w:r>
    </w:p>
    <w:p w14:paraId="6CBF0A5D" w14:textId="50879CE9" w:rsidR="0015057B" w:rsidRPr="00EC48C7" w:rsidRDefault="0015057B" w:rsidP="0015057B">
      <w:pPr>
        <w:tabs>
          <w:tab w:val="left" w:pos="420"/>
        </w:tabs>
        <w:spacing w:before="120" w:after="120"/>
        <w:ind w:left="45"/>
        <w:rPr>
          <w:rFonts w:cs="Arial"/>
          <w:sz w:val="20"/>
          <w:szCs w:val="24"/>
        </w:rPr>
      </w:pPr>
      <w:r w:rsidRPr="00D336C8">
        <w:rPr>
          <w:rFonts w:cs="Arial"/>
          <w:sz w:val="20"/>
          <w:szCs w:val="24"/>
        </w:rPr>
        <w:t>24.</w:t>
      </w:r>
      <w:r w:rsidRPr="00EC48C7">
        <w:rPr>
          <w:rFonts w:cs="Arial"/>
          <w:sz w:val="20"/>
          <w:szCs w:val="24"/>
        </w:rPr>
        <w:tab/>
      </w:r>
      <w:r w:rsidRPr="00D336C8">
        <w:rPr>
          <w:rFonts w:cs="Arial"/>
          <w:sz w:val="20"/>
          <w:szCs w:val="24"/>
        </w:rPr>
        <w:t>Außerordentliche Studien sind die Hochschullehrgänge, der Besuch einzelner Lehrveranstaltungen aus wissenschaftlichen Fächern und Studien zur Herstellung der Gleichwertigkeit gemäß §</w:t>
      </w:r>
      <w:r w:rsidR="007623BE" w:rsidRPr="00EC48C7">
        <w:rPr>
          <w:rFonts w:cs="Arial"/>
          <w:sz w:val="20"/>
          <w:szCs w:val="24"/>
        </w:rPr>
        <w:t xml:space="preserve"> </w:t>
      </w:r>
      <w:r w:rsidRPr="00D336C8">
        <w:rPr>
          <w:rFonts w:cs="Arial"/>
          <w:sz w:val="20"/>
          <w:szCs w:val="24"/>
        </w:rPr>
        <w:t>68 Abs.</w:t>
      </w:r>
      <w:r w:rsidR="007623BE" w:rsidRPr="00EC48C7">
        <w:rPr>
          <w:rFonts w:cs="Arial"/>
          <w:sz w:val="20"/>
          <w:szCs w:val="24"/>
        </w:rPr>
        <w:t xml:space="preserve"> </w:t>
      </w:r>
      <w:r w:rsidRPr="00D336C8">
        <w:rPr>
          <w:rFonts w:cs="Arial"/>
          <w:sz w:val="20"/>
          <w:szCs w:val="24"/>
        </w:rPr>
        <w:t>4.</w:t>
      </w:r>
    </w:p>
    <w:p w14:paraId="19A588C4" w14:textId="77777777" w:rsidR="00D336C8" w:rsidRPr="00EC48C7" w:rsidRDefault="00D336C8" w:rsidP="0015057B">
      <w:pPr>
        <w:spacing w:before="120" w:after="120"/>
        <w:rPr>
          <w:rFonts w:cs="Arial"/>
          <w:sz w:val="20"/>
          <w:szCs w:val="22"/>
        </w:rPr>
      </w:pPr>
    </w:p>
    <w:p w14:paraId="5A430CEF" w14:textId="4ED2A898" w:rsidR="00E3770F" w:rsidRPr="008A575B" w:rsidRDefault="00E3770F" w:rsidP="00E3770F">
      <w:pPr>
        <w:autoSpaceDE w:val="0"/>
        <w:autoSpaceDN w:val="0"/>
        <w:adjustRightInd w:val="0"/>
        <w:spacing w:before="240"/>
        <w:rPr>
          <w:rFonts w:cs="Arial"/>
          <w:b/>
          <w:bCs/>
        </w:rPr>
      </w:pPr>
      <w:r w:rsidRPr="008A575B">
        <w:rPr>
          <w:rFonts w:cs="Arial"/>
          <w:b/>
          <w:bCs/>
        </w:rPr>
        <w:t>An</w:t>
      </w:r>
      <w:r w:rsidR="00D96B3A">
        <w:rPr>
          <w:rFonts w:cs="Arial"/>
          <w:b/>
          <w:bCs/>
        </w:rPr>
        <w:t>erkennung von Prüfungen</w:t>
      </w:r>
    </w:p>
    <w:p w14:paraId="23BF8E33" w14:textId="77777777" w:rsidR="00A23268" w:rsidRPr="0007162D" w:rsidRDefault="00A23268" w:rsidP="00A23268">
      <w:pPr>
        <w:spacing w:before="120"/>
        <w:rPr>
          <w:rFonts w:cs="Arial"/>
          <w:sz w:val="20"/>
          <w:szCs w:val="24"/>
        </w:rPr>
      </w:pPr>
      <w:r w:rsidRPr="00EC48C7">
        <w:rPr>
          <w:rFonts w:cs="Arial"/>
          <w:sz w:val="20"/>
          <w:szCs w:val="24"/>
        </w:rPr>
        <w:t>§ 56.</w:t>
      </w:r>
      <w:r w:rsidRPr="0007162D">
        <w:rPr>
          <w:rFonts w:cs="Arial"/>
          <w:sz w:val="20"/>
          <w:szCs w:val="24"/>
        </w:rPr>
        <w:t xml:space="preserve"> (1) Auf Antrag der oder des ordentlichen Studierenden sind positiv beurteilte Prüfungen, soweit sie den im Curriculum vorgeschriebenen Prüfungen gleichwertig sind, vom für die studienrechtlichen Angelegenheiten zuständigen Organ bescheidmäßig anzuerkennen, wenn sie</w:t>
      </w:r>
    </w:p>
    <w:p w14:paraId="06BEEDB5" w14:textId="77777777" w:rsidR="00A23268" w:rsidRPr="00EC48C7" w:rsidRDefault="00A23268" w:rsidP="00A23268">
      <w:pPr>
        <w:spacing w:before="120"/>
        <w:rPr>
          <w:rFonts w:cs="Arial"/>
          <w:sz w:val="20"/>
          <w:szCs w:val="24"/>
        </w:rPr>
      </w:pPr>
      <w:r w:rsidRPr="0007162D">
        <w:rPr>
          <w:rFonts w:cs="Arial"/>
          <w:sz w:val="20"/>
          <w:szCs w:val="24"/>
        </w:rPr>
        <w:t>1.</w:t>
      </w:r>
      <w:r w:rsidRPr="00EC48C7">
        <w:rPr>
          <w:rFonts w:cs="Arial"/>
          <w:sz w:val="20"/>
          <w:szCs w:val="24"/>
        </w:rPr>
        <w:t xml:space="preserve"> </w:t>
      </w:r>
      <w:r w:rsidRPr="0007162D">
        <w:rPr>
          <w:rFonts w:cs="Arial"/>
          <w:sz w:val="20"/>
          <w:szCs w:val="24"/>
        </w:rPr>
        <w:t>an einer anerkannten inländischen oder ausländischen postsekundären Bildungseinrichtung,</w:t>
      </w:r>
    </w:p>
    <w:p w14:paraId="65B1EE8D" w14:textId="77777777" w:rsidR="00A23268" w:rsidRPr="00EC48C7" w:rsidRDefault="00A23268" w:rsidP="00A23268">
      <w:pPr>
        <w:spacing w:before="120"/>
        <w:rPr>
          <w:rFonts w:cs="Arial"/>
          <w:sz w:val="20"/>
          <w:szCs w:val="24"/>
        </w:rPr>
      </w:pPr>
      <w:r w:rsidRPr="0007162D">
        <w:rPr>
          <w:rFonts w:cs="Arial"/>
          <w:sz w:val="20"/>
          <w:szCs w:val="24"/>
        </w:rPr>
        <w:t>2.</w:t>
      </w:r>
      <w:r w:rsidRPr="00EC48C7">
        <w:rPr>
          <w:rFonts w:cs="Arial"/>
          <w:sz w:val="20"/>
          <w:szCs w:val="24"/>
        </w:rPr>
        <w:t xml:space="preserve"> </w:t>
      </w:r>
      <w:r w:rsidRPr="0007162D">
        <w:rPr>
          <w:rFonts w:cs="Arial"/>
          <w:sz w:val="20"/>
          <w:szCs w:val="24"/>
        </w:rPr>
        <w:t>in Studien an einer anerkannten inländischen Bildungseinrichtung, deren Zugang die allgemeine Universitätsreife erfordert,</w:t>
      </w:r>
    </w:p>
    <w:p w14:paraId="76198118" w14:textId="77777777" w:rsidR="00A23268" w:rsidRPr="00EC48C7" w:rsidRDefault="00A23268" w:rsidP="00A23268">
      <w:pPr>
        <w:spacing w:before="120"/>
        <w:rPr>
          <w:rFonts w:cs="Arial"/>
          <w:sz w:val="20"/>
          <w:szCs w:val="24"/>
        </w:rPr>
      </w:pPr>
      <w:r w:rsidRPr="0007162D">
        <w:rPr>
          <w:rFonts w:cs="Arial"/>
          <w:sz w:val="20"/>
          <w:szCs w:val="24"/>
        </w:rPr>
        <w:t>3.</w:t>
      </w:r>
      <w:r w:rsidRPr="00EC48C7">
        <w:rPr>
          <w:rFonts w:cs="Arial"/>
          <w:sz w:val="20"/>
          <w:szCs w:val="24"/>
        </w:rPr>
        <w:t xml:space="preserve"> </w:t>
      </w:r>
      <w:r w:rsidRPr="0007162D">
        <w:rPr>
          <w:rFonts w:cs="Arial"/>
          <w:sz w:val="20"/>
          <w:szCs w:val="24"/>
        </w:rPr>
        <w:t>an einer berufsbildenden höheren Schule in den für die künftige Berufstätigkeit erforderlichen Fächern,</w:t>
      </w:r>
    </w:p>
    <w:p w14:paraId="4B7A68CF" w14:textId="77777777" w:rsidR="00A23268" w:rsidRPr="00EC48C7" w:rsidRDefault="00A23268" w:rsidP="00A23268">
      <w:pPr>
        <w:spacing w:before="120"/>
        <w:rPr>
          <w:rFonts w:cs="Arial"/>
          <w:sz w:val="20"/>
          <w:szCs w:val="24"/>
        </w:rPr>
      </w:pPr>
      <w:r w:rsidRPr="0007162D">
        <w:rPr>
          <w:rFonts w:cs="Arial"/>
          <w:sz w:val="20"/>
          <w:szCs w:val="24"/>
        </w:rPr>
        <w:t>4.</w:t>
      </w:r>
      <w:r w:rsidRPr="00EC48C7">
        <w:rPr>
          <w:rFonts w:cs="Arial"/>
          <w:sz w:val="20"/>
          <w:szCs w:val="24"/>
        </w:rPr>
        <w:t xml:space="preserve"> </w:t>
      </w:r>
      <w:r w:rsidRPr="0007162D">
        <w:rPr>
          <w:rFonts w:cs="Arial"/>
          <w:sz w:val="20"/>
          <w:szCs w:val="24"/>
        </w:rPr>
        <w:t>an einer Höheren Anstalt für Lehrer- und Erzieherbildung in den für die künftige Berufstätigkeit erforderlichen Fächern,</w:t>
      </w:r>
    </w:p>
    <w:p w14:paraId="3213A70A" w14:textId="77777777" w:rsidR="00A23268" w:rsidRPr="00EC48C7" w:rsidRDefault="00A23268" w:rsidP="00A23268">
      <w:pPr>
        <w:spacing w:before="120"/>
        <w:rPr>
          <w:rFonts w:cs="Arial"/>
          <w:sz w:val="20"/>
          <w:szCs w:val="24"/>
        </w:rPr>
      </w:pPr>
      <w:r w:rsidRPr="0007162D">
        <w:rPr>
          <w:rFonts w:cs="Arial"/>
          <w:sz w:val="20"/>
          <w:szCs w:val="24"/>
        </w:rPr>
        <w:t>5.</w:t>
      </w:r>
      <w:r w:rsidRPr="00EC48C7">
        <w:rPr>
          <w:rFonts w:cs="Arial"/>
          <w:sz w:val="20"/>
          <w:szCs w:val="24"/>
        </w:rPr>
        <w:t xml:space="preserve"> </w:t>
      </w:r>
      <w:r w:rsidRPr="0007162D">
        <w:rPr>
          <w:rFonts w:cs="Arial"/>
          <w:sz w:val="20"/>
          <w:szCs w:val="24"/>
        </w:rPr>
        <w:t>an allgemein bildenden höheren Schulen unter besonderer Berücksichtigung der musischen oder der sportlichen Ausbildung in künstlerischen und künstlerisch-wissenschaftlichen sowie in sportlichen und sportlich-wissenschaftlichen Fächern oder</w:t>
      </w:r>
    </w:p>
    <w:p w14:paraId="36FBFC4E" w14:textId="77777777" w:rsidR="00A23268" w:rsidRPr="00EC48C7" w:rsidRDefault="00A23268" w:rsidP="00A23268">
      <w:pPr>
        <w:spacing w:before="120"/>
        <w:rPr>
          <w:rFonts w:cs="Arial"/>
          <w:sz w:val="20"/>
          <w:szCs w:val="24"/>
        </w:rPr>
      </w:pPr>
      <w:r w:rsidRPr="0007162D">
        <w:rPr>
          <w:rFonts w:cs="Arial"/>
          <w:sz w:val="20"/>
          <w:szCs w:val="24"/>
        </w:rPr>
        <w:t>6.</w:t>
      </w:r>
      <w:r w:rsidRPr="00EC48C7">
        <w:rPr>
          <w:rFonts w:cs="Arial"/>
          <w:sz w:val="20"/>
          <w:szCs w:val="24"/>
        </w:rPr>
        <w:t xml:space="preserve"> </w:t>
      </w:r>
      <w:r w:rsidRPr="0007162D">
        <w:rPr>
          <w:rFonts w:cs="Arial"/>
          <w:sz w:val="20"/>
          <w:szCs w:val="24"/>
        </w:rPr>
        <w:t>an österreichischen Konservatorien mit Öffentlichkeitsrecht</w:t>
      </w:r>
    </w:p>
    <w:p w14:paraId="7C0B15B9" w14:textId="77777777" w:rsidR="00A23268" w:rsidRPr="00EC48C7" w:rsidRDefault="00A23268" w:rsidP="00A23268">
      <w:pPr>
        <w:spacing w:before="120"/>
        <w:rPr>
          <w:rFonts w:cs="Arial"/>
          <w:sz w:val="20"/>
          <w:szCs w:val="24"/>
        </w:rPr>
      </w:pPr>
      <w:r w:rsidRPr="0007162D">
        <w:rPr>
          <w:rFonts w:cs="Arial"/>
          <w:sz w:val="20"/>
          <w:szCs w:val="24"/>
        </w:rPr>
        <w:t>abgelegt wurden. Die an einer inländischen postsekundären Bildungseinrichtung oder an einer anerkannten postsekundären Bildungseinrichtung eines EU- oder EWR-Staates für ein Fach abgelegten Prüfungen sind für das gleiche Fach im weiteren Studium desselben Studiums an einer anderen inländischen Universität jedenfalls anzuerkennen, wenn die ECTS-Anrechnungspunkte gleich sind oder nur geringfügig abweichen. Solche Anerkennungen können im Curriculum generell festgelegt werden.</w:t>
      </w:r>
    </w:p>
    <w:p w14:paraId="504D4ECB" w14:textId="77777777" w:rsidR="00A23268" w:rsidRPr="0007162D" w:rsidRDefault="00A23268" w:rsidP="00A23268">
      <w:pPr>
        <w:spacing w:before="120"/>
        <w:rPr>
          <w:rFonts w:cs="Arial"/>
          <w:sz w:val="20"/>
          <w:szCs w:val="24"/>
        </w:rPr>
      </w:pPr>
      <w:r w:rsidRPr="0007162D">
        <w:rPr>
          <w:rFonts w:cs="Arial"/>
          <w:sz w:val="20"/>
          <w:szCs w:val="24"/>
        </w:rPr>
        <w:t>(2) Die Anerkennung von Prüfungen, die entgegen der Bestimmungen des § 52 Abs. 7 und 8 an einer anderen Pädagogischen Hochschule oder Universität abgelegt wurden, ist ausgeschlossen.</w:t>
      </w:r>
    </w:p>
    <w:p w14:paraId="40D4B3DD" w14:textId="77777777" w:rsidR="00A23268" w:rsidRPr="0007162D" w:rsidRDefault="00A23268" w:rsidP="00A23268">
      <w:pPr>
        <w:spacing w:before="120"/>
        <w:rPr>
          <w:rFonts w:cs="Arial"/>
          <w:sz w:val="20"/>
          <w:szCs w:val="24"/>
        </w:rPr>
      </w:pPr>
      <w:r w:rsidRPr="0007162D">
        <w:rPr>
          <w:rFonts w:cs="Arial"/>
          <w:sz w:val="20"/>
          <w:szCs w:val="24"/>
        </w:rPr>
        <w:t>(3) Die wissenschaftliche Tätigkeit in Betrieben oder Forschungseinrichtungen außerhalb der Pädagogischen Hochschule und bei gemeinsam eingerichteten Studien außerhalb der beteiligten Bildungseinrichtungen, die eine wissenschaftliche Berufsvorbildung vermitteln können, ist entsprechend der Art der Forschungstätigkeit und der Forschungsprojekte der betreffenden Einrichtung sowie nach Art und Umfang der Mitwirkung oder Tätigkeit der oder des Studierenden nach Maßgabe der Gleichwertigkeit auf Antrag der oder des ordentlichen Studierenden bescheidmäßig als Prüfung anzuerkennen.</w:t>
      </w:r>
    </w:p>
    <w:p w14:paraId="3B04F143" w14:textId="77777777" w:rsidR="00A23268" w:rsidRPr="0007162D" w:rsidRDefault="00A23268" w:rsidP="00A23268">
      <w:pPr>
        <w:spacing w:before="120"/>
        <w:rPr>
          <w:rFonts w:cs="Arial"/>
          <w:sz w:val="20"/>
          <w:szCs w:val="24"/>
        </w:rPr>
      </w:pPr>
      <w:r w:rsidRPr="0007162D">
        <w:rPr>
          <w:rFonts w:cs="Arial"/>
          <w:sz w:val="20"/>
          <w:szCs w:val="24"/>
        </w:rPr>
        <w:t>(4) Die künstlerische Tätigkeit an Institutionen außerhalb der Pädagogischen Hochschule und bei gemeinsam eingerichteten Studien außerhalb der beteiligten Bildungseinrichtungen, die eine künstlerische Berufsvorbildung vermitteln können, ist entsprechend der Art der künstlerischen Tätigkeit sowie nach Art und Umfang der Mitwirkung oder Tätigkeit der oder des Studierenden nach Maßgabe der Gleichwertigkeit auf Antrag der oder des ordentlichen Studierenden bescheidmäßig als Prüfung anzuerkennen.</w:t>
      </w:r>
    </w:p>
    <w:p w14:paraId="47A87839" w14:textId="77777777" w:rsidR="00A23268" w:rsidRPr="0007162D" w:rsidRDefault="00A23268" w:rsidP="00A23268">
      <w:pPr>
        <w:spacing w:before="120"/>
        <w:rPr>
          <w:rFonts w:cs="Arial"/>
          <w:sz w:val="20"/>
          <w:szCs w:val="24"/>
        </w:rPr>
      </w:pPr>
      <w:r w:rsidRPr="0007162D">
        <w:rPr>
          <w:rFonts w:cs="Arial"/>
          <w:sz w:val="20"/>
          <w:szCs w:val="24"/>
        </w:rPr>
        <w:t>(5) Bei Lehramtsstudien sowie instrumental(gesangs-), religions- und wirtschaftspädagogischen Studien sind einschlägige berufliche Tätigkeiten mit pädagogischen Anteilen nach Maßgabe der Gleichwertigkeit auf Antrag der oder des ordentlichen Studierenden auf entsprechende praxisorientierte Lehrveranstaltungen bescheidmäßig als Prüfung anzuerkennen.</w:t>
      </w:r>
    </w:p>
    <w:p w14:paraId="2518F73A" w14:textId="77777777" w:rsidR="00A23268" w:rsidRPr="0007162D" w:rsidRDefault="00A23268" w:rsidP="00A23268">
      <w:pPr>
        <w:spacing w:before="120"/>
        <w:rPr>
          <w:rFonts w:cs="Arial"/>
          <w:sz w:val="20"/>
          <w:szCs w:val="24"/>
        </w:rPr>
      </w:pPr>
      <w:r w:rsidRPr="0007162D">
        <w:rPr>
          <w:rFonts w:cs="Arial"/>
          <w:sz w:val="20"/>
          <w:szCs w:val="24"/>
        </w:rPr>
        <w:t>(6) Auf Antrag ordentlicher Studierender, die Teile ihres Studiums im Ausland durchführen wollen, ist bescheidmäßig festzustellen, welche der geplanten Prüfungen den im Curriculum vorgeschriebenen Prüfungen gleichwertig sind. Die für die Beurteilung notwendigen Unterlagen sind von der Antragstellerin oder dem Antragsteller vorzulegen.</w:t>
      </w:r>
    </w:p>
    <w:p w14:paraId="49D141B7" w14:textId="77777777" w:rsidR="00A23268" w:rsidRPr="0007162D" w:rsidRDefault="00A23268" w:rsidP="00A23268">
      <w:pPr>
        <w:spacing w:before="120"/>
        <w:rPr>
          <w:rFonts w:cs="Arial"/>
          <w:sz w:val="20"/>
          <w:szCs w:val="24"/>
        </w:rPr>
      </w:pPr>
      <w:r w:rsidRPr="0007162D">
        <w:rPr>
          <w:rFonts w:cs="Arial"/>
          <w:sz w:val="20"/>
          <w:szCs w:val="24"/>
        </w:rPr>
        <w:t>(7) Die Anerkennung einer Prüfung gilt als Prüfungsantritt und positive Beurteilung der entsprechenden im Curriculum vorgeschriebenen Prüfung in dem Studium, für welches die Prüfung anerkannt wird.</w:t>
      </w:r>
    </w:p>
    <w:p w14:paraId="7BD2D48E" w14:textId="77777777" w:rsidR="00A23268" w:rsidRPr="0007162D" w:rsidRDefault="00A23268" w:rsidP="00A23268">
      <w:pPr>
        <w:spacing w:before="120"/>
        <w:rPr>
          <w:rFonts w:cs="Arial"/>
          <w:sz w:val="20"/>
          <w:szCs w:val="24"/>
        </w:rPr>
      </w:pPr>
      <w:r w:rsidRPr="0007162D">
        <w:rPr>
          <w:rFonts w:cs="Arial"/>
          <w:sz w:val="20"/>
          <w:szCs w:val="24"/>
        </w:rPr>
        <w:t xml:space="preserve">(8) Positiv beurteilte Prüfungen, die außerordentliche Studierende abgelegt haben, sind für ordentliche Studien nach Maßgabe der Gleichwertigkeit nur insoweit </w:t>
      </w:r>
      <w:proofErr w:type="spellStart"/>
      <w:r w:rsidRPr="0007162D">
        <w:rPr>
          <w:rFonts w:cs="Arial"/>
          <w:sz w:val="20"/>
          <w:szCs w:val="24"/>
        </w:rPr>
        <w:t>anerkennbar</w:t>
      </w:r>
      <w:proofErr w:type="spellEnd"/>
      <w:r w:rsidRPr="0007162D">
        <w:rPr>
          <w:rFonts w:cs="Arial"/>
          <w:sz w:val="20"/>
          <w:szCs w:val="24"/>
        </w:rPr>
        <w:t>, als sie</w:t>
      </w:r>
    </w:p>
    <w:p w14:paraId="62314BF0" w14:textId="77777777" w:rsidR="00A23268" w:rsidRPr="00EC48C7" w:rsidRDefault="00A23268" w:rsidP="00A23268">
      <w:pPr>
        <w:spacing w:before="120"/>
        <w:rPr>
          <w:rFonts w:cs="Arial"/>
          <w:sz w:val="20"/>
          <w:szCs w:val="24"/>
        </w:rPr>
      </w:pPr>
      <w:r w:rsidRPr="0007162D">
        <w:rPr>
          <w:rFonts w:cs="Arial"/>
          <w:sz w:val="20"/>
          <w:szCs w:val="24"/>
        </w:rPr>
        <w:t>1.</w:t>
      </w:r>
      <w:r w:rsidRPr="00EC48C7">
        <w:rPr>
          <w:rFonts w:cs="Arial"/>
          <w:sz w:val="20"/>
          <w:szCs w:val="24"/>
        </w:rPr>
        <w:t xml:space="preserve"> </w:t>
      </w:r>
      <w:r w:rsidRPr="0007162D">
        <w:rPr>
          <w:rFonts w:cs="Arial"/>
          <w:sz w:val="20"/>
          <w:szCs w:val="24"/>
        </w:rPr>
        <w:t>im Rahmen von Hochschullehrgängen oder Universitätslehrgängen,</w:t>
      </w:r>
    </w:p>
    <w:p w14:paraId="183B15E0" w14:textId="77777777" w:rsidR="00A23268" w:rsidRPr="00EC48C7" w:rsidRDefault="00A23268" w:rsidP="00A23268">
      <w:pPr>
        <w:spacing w:before="120"/>
        <w:rPr>
          <w:rFonts w:cs="Arial"/>
          <w:sz w:val="20"/>
          <w:szCs w:val="24"/>
        </w:rPr>
      </w:pPr>
      <w:r w:rsidRPr="0007162D">
        <w:rPr>
          <w:rFonts w:cs="Arial"/>
          <w:sz w:val="20"/>
          <w:szCs w:val="24"/>
        </w:rPr>
        <w:t>2.</w:t>
      </w:r>
      <w:r w:rsidRPr="00EC48C7">
        <w:rPr>
          <w:rFonts w:cs="Arial"/>
          <w:sz w:val="20"/>
          <w:szCs w:val="24"/>
        </w:rPr>
        <w:t xml:space="preserve"> </w:t>
      </w:r>
      <w:r w:rsidRPr="0007162D">
        <w:rPr>
          <w:rFonts w:cs="Arial"/>
          <w:sz w:val="20"/>
          <w:szCs w:val="24"/>
        </w:rPr>
        <w:t>vor der vollständigen Ablegung der Reifeprüfung oder der Studienberechtigungsprüfung oder</w:t>
      </w:r>
    </w:p>
    <w:p w14:paraId="2DC2E421" w14:textId="77777777" w:rsidR="00A23268" w:rsidRPr="00EC48C7" w:rsidRDefault="00A23268" w:rsidP="00A23268">
      <w:pPr>
        <w:spacing w:before="120"/>
        <w:rPr>
          <w:rFonts w:cs="Arial"/>
          <w:sz w:val="20"/>
          <w:szCs w:val="24"/>
        </w:rPr>
      </w:pPr>
      <w:r w:rsidRPr="0007162D">
        <w:rPr>
          <w:rFonts w:cs="Arial"/>
          <w:sz w:val="20"/>
          <w:szCs w:val="24"/>
        </w:rPr>
        <w:t>3.</w:t>
      </w:r>
      <w:r w:rsidRPr="00EC48C7">
        <w:rPr>
          <w:rFonts w:cs="Arial"/>
          <w:sz w:val="20"/>
          <w:szCs w:val="24"/>
        </w:rPr>
        <w:t xml:space="preserve"> </w:t>
      </w:r>
      <w:r w:rsidRPr="0007162D">
        <w:rPr>
          <w:rFonts w:cs="Arial"/>
          <w:sz w:val="20"/>
          <w:szCs w:val="24"/>
        </w:rPr>
        <w:t>vor der vollständigen Absolvierung der Eignungsfeststellung für das Lehramtsstudium, für welches die Prüfung anerkannt werden soll,</w:t>
      </w:r>
    </w:p>
    <w:p w14:paraId="66B95243" w14:textId="2D996B9F" w:rsidR="00A23268" w:rsidRPr="00EC48C7" w:rsidRDefault="00A23268" w:rsidP="00EC48C7">
      <w:pPr>
        <w:spacing w:before="120"/>
        <w:rPr>
          <w:rFonts w:cs="Arial"/>
          <w:sz w:val="20"/>
          <w:szCs w:val="24"/>
        </w:rPr>
      </w:pPr>
      <w:r w:rsidRPr="0007162D">
        <w:rPr>
          <w:rFonts w:cs="Arial"/>
          <w:sz w:val="20"/>
          <w:szCs w:val="24"/>
        </w:rPr>
        <w:t>abgelegt wurden.</w:t>
      </w:r>
    </w:p>
    <w:p w14:paraId="7E0B41F8" w14:textId="4DCC42D1" w:rsidR="00E3770F" w:rsidRPr="008A575B" w:rsidRDefault="00E3770F" w:rsidP="00E3770F">
      <w:pPr>
        <w:autoSpaceDE w:val="0"/>
        <w:autoSpaceDN w:val="0"/>
        <w:adjustRightInd w:val="0"/>
        <w:spacing w:before="360"/>
        <w:rPr>
          <w:rFonts w:cs="Arial"/>
          <w:b/>
        </w:rPr>
      </w:pPr>
      <w:r w:rsidRPr="008A575B">
        <w:rPr>
          <w:rFonts w:cs="Arial"/>
          <w:b/>
        </w:rPr>
        <w:t>Entscheidendes Organ über An</w:t>
      </w:r>
      <w:r w:rsidR="002E1963">
        <w:rPr>
          <w:rFonts w:cs="Arial"/>
          <w:b/>
        </w:rPr>
        <w:t>erkennungen</w:t>
      </w:r>
      <w:r w:rsidRPr="008A575B">
        <w:rPr>
          <w:rFonts w:cs="Arial"/>
          <w:b/>
        </w:rPr>
        <w:t xml:space="preserve"> gem. Erläuterungen</w:t>
      </w:r>
    </w:p>
    <w:p w14:paraId="273FE0F2" w14:textId="09170B18" w:rsidR="00E3770F" w:rsidRDefault="00E3770F" w:rsidP="00E3770F">
      <w:pPr>
        <w:autoSpaceDE w:val="0"/>
        <w:autoSpaceDN w:val="0"/>
        <w:adjustRightInd w:val="0"/>
        <w:rPr>
          <w:rFonts w:cs="Arial"/>
          <w:sz w:val="20"/>
        </w:rPr>
      </w:pPr>
      <w:r>
        <w:rPr>
          <w:rFonts w:cs="Arial"/>
          <w:sz w:val="20"/>
        </w:rPr>
        <w:lastRenderedPageBreak/>
        <w:t>Monokratisches Organ für Anrechnungen lt. § 28 Abs. 2 Ziffer 2:</w:t>
      </w:r>
    </w:p>
    <w:p w14:paraId="58A56699" w14:textId="08D52504" w:rsidR="00E3770F" w:rsidRDefault="00516080" w:rsidP="00E3770F">
      <w:pPr>
        <w:autoSpaceDE w:val="0"/>
        <w:autoSpaceDN w:val="0"/>
        <w:adjustRightInd w:val="0"/>
        <w:rPr>
          <w:rFonts w:cs="Arial"/>
          <w:sz w:val="20"/>
        </w:rPr>
      </w:pPr>
      <w:r>
        <w:rPr>
          <w:rFonts w:cs="Arial"/>
          <w:sz w:val="20"/>
        </w:rPr>
        <w:t>HS-</w:t>
      </w:r>
      <w:r w:rsidR="00E3770F">
        <w:rPr>
          <w:rFonts w:cs="Arial"/>
          <w:sz w:val="20"/>
        </w:rPr>
        <w:t xml:space="preserve">Prof. Mag. Dr. Christian Brunnthaler, Leiter des Instituts für </w:t>
      </w:r>
      <w:r w:rsidR="002E1963">
        <w:rPr>
          <w:rFonts w:cs="Arial"/>
          <w:sz w:val="20"/>
        </w:rPr>
        <w:t>Pädagogische Professionalität &amp; Schulentwicklung</w:t>
      </w:r>
    </w:p>
    <w:p w14:paraId="5C5DEEBF" w14:textId="77777777" w:rsidR="00E3770F" w:rsidRDefault="00E3770F" w:rsidP="00E3770F">
      <w:pPr>
        <w:autoSpaceDE w:val="0"/>
        <w:autoSpaceDN w:val="0"/>
        <w:adjustRightInd w:val="0"/>
        <w:rPr>
          <w:rFonts w:cs="Arial"/>
          <w:sz w:val="20"/>
        </w:rPr>
      </w:pPr>
    </w:p>
    <w:p w14:paraId="1A9CF632" w14:textId="77777777" w:rsidR="00E3770F" w:rsidRDefault="00E3770F" w:rsidP="00E3770F">
      <w:pPr>
        <w:autoSpaceDE w:val="0"/>
        <w:autoSpaceDN w:val="0"/>
        <w:adjustRightInd w:val="0"/>
        <w:rPr>
          <w:rFonts w:cs="Arial"/>
          <w:sz w:val="20"/>
        </w:rPr>
      </w:pPr>
    </w:p>
    <w:p w14:paraId="129DA9B8" w14:textId="77777777" w:rsidR="00E3770F" w:rsidRDefault="00E3770F" w:rsidP="00E3770F">
      <w:pPr>
        <w:autoSpaceDE w:val="0"/>
        <w:autoSpaceDN w:val="0"/>
        <w:adjustRightInd w:val="0"/>
        <w:rPr>
          <w:rFonts w:cs="Arial"/>
          <w:sz w:val="20"/>
        </w:rPr>
      </w:pPr>
    </w:p>
    <w:p w14:paraId="4584AB3F" w14:textId="77777777" w:rsidR="00E3770F" w:rsidRDefault="00E3770F" w:rsidP="00E3770F">
      <w:pPr>
        <w:autoSpaceDE w:val="0"/>
        <w:autoSpaceDN w:val="0"/>
        <w:adjustRightInd w:val="0"/>
        <w:rPr>
          <w:rFonts w:cs="Arial"/>
          <w:sz w:val="20"/>
        </w:rPr>
      </w:pPr>
    </w:p>
    <w:p w14:paraId="0DAA5A98" w14:textId="77777777" w:rsidR="00E3770F" w:rsidRDefault="00E3770F" w:rsidP="00E3770F">
      <w:pPr>
        <w:autoSpaceDE w:val="0"/>
        <w:autoSpaceDN w:val="0"/>
        <w:adjustRightInd w:val="0"/>
        <w:rPr>
          <w:rFonts w:cs="Arial"/>
          <w:sz w:val="20"/>
        </w:rPr>
      </w:pPr>
    </w:p>
    <w:p w14:paraId="5B62305D" w14:textId="77777777" w:rsidR="00E3770F" w:rsidRDefault="00E3770F" w:rsidP="00E3770F">
      <w:pPr>
        <w:autoSpaceDE w:val="0"/>
        <w:autoSpaceDN w:val="0"/>
        <w:adjustRightInd w:val="0"/>
        <w:rPr>
          <w:rFonts w:cs="Arial"/>
          <w:sz w:val="20"/>
        </w:rPr>
      </w:pPr>
    </w:p>
    <w:p w14:paraId="3C8114F1" w14:textId="77777777" w:rsidR="00E3770F" w:rsidRDefault="00E3770F" w:rsidP="00E3770F">
      <w:pPr>
        <w:autoSpaceDE w:val="0"/>
        <w:autoSpaceDN w:val="0"/>
        <w:adjustRightInd w:val="0"/>
        <w:spacing w:line="276" w:lineRule="auto"/>
        <w:rPr>
          <w:rFonts w:cs="Arial"/>
          <w:sz w:val="20"/>
        </w:rPr>
      </w:pPr>
    </w:p>
    <w:p w14:paraId="3F0D2B0E" w14:textId="77777777" w:rsidR="00E3770F" w:rsidRDefault="00E3770F" w:rsidP="00E3770F">
      <w:pPr>
        <w:autoSpaceDE w:val="0"/>
        <w:autoSpaceDN w:val="0"/>
        <w:adjustRightInd w:val="0"/>
        <w:spacing w:line="276" w:lineRule="auto"/>
        <w:rPr>
          <w:rFonts w:cs="Arial"/>
          <w:sz w:val="20"/>
        </w:rPr>
      </w:pPr>
    </w:p>
    <w:p w14:paraId="77399931" w14:textId="77777777" w:rsidR="00E3770F" w:rsidRPr="00796B09" w:rsidRDefault="00E3770F" w:rsidP="00E3770F">
      <w:pPr>
        <w:autoSpaceDE w:val="0"/>
        <w:autoSpaceDN w:val="0"/>
        <w:adjustRightInd w:val="0"/>
        <w:spacing w:line="276" w:lineRule="auto"/>
        <w:rPr>
          <w:rFonts w:cs="Arial"/>
          <w:sz w:val="20"/>
        </w:rPr>
      </w:pPr>
    </w:p>
    <w:p w14:paraId="77B6D639" w14:textId="77777777" w:rsidR="00630693" w:rsidRDefault="00E3770F" w:rsidP="00E3770F">
      <w:pPr>
        <w:rPr>
          <w:sz w:val="21"/>
          <w:szCs w:val="21"/>
        </w:rPr>
      </w:pPr>
      <w:r>
        <w:rPr>
          <w:sz w:val="21"/>
          <w:szCs w:val="21"/>
        </w:rPr>
        <w:t>Dr. Christian Brunnthaler</w:t>
      </w:r>
    </w:p>
    <w:p w14:paraId="3C45386D" w14:textId="77777777" w:rsidR="00E3770F" w:rsidRDefault="00E3770F" w:rsidP="00E3770F">
      <w:pPr>
        <w:spacing w:after="480"/>
        <w:rPr>
          <w:sz w:val="21"/>
          <w:szCs w:val="21"/>
        </w:rPr>
      </w:pPr>
      <w:r>
        <w:rPr>
          <w:sz w:val="21"/>
          <w:szCs w:val="21"/>
        </w:rPr>
        <w:lastRenderedPageBreak/>
        <w:t>Institutsleiter</w:t>
      </w:r>
    </w:p>
    <w:p w14:paraId="469280D8" w14:textId="49C16EE0" w:rsidR="00E3770F" w:rsidRPr="00630693" w:rsidRDefault="00E3770F" w:rsidP="00E3770F">
      <w:pPr>
        <w:spacing w:after="480"/>
        <w:rPr>
          <w:sz w:val="21"/>
          <w:szCs w:val="21"/>
        </w:rPr>
      </w:pPr>
      <w:r>
        <w:rPr>
          <w:sz w:val="21"/>
          <w:szCs w:val="21"/>
        </w:rPr>
        <w:t xml:space="preserve">Graz, </w:t>
      </w:r>
      <w:r w:rsidR="00EC48C7">
        <w:rPr>
          <w:sz w:val="21"/>
          <w:szCs w:val="21"/>
        </w:rPr>
        <w:t>1. Oktober</w:t>
      </w:r>
      <w:bookmarkStart w:id="0" w:name="_GoBack"/>
      <w:bookmarkEnd w:id="0"/>
      <w:r>
        <w:rPr>
          <w:sz w:val="21"/>
          <w:szCs w:val="21"/>
        </w:rPr>
        <w:t>ber 201</w:t>
      </w:r>
      <w:r w:rsidR="00EC48C7">
        <w:rPr>
          <w:sz w:val="21"/>
          <w:szCs w:val="21"/>
        </w:rPr>
        <w:t>8</w:t>
      </w:r>
    </w:p>
    <w:sectPr w:rsidR="00E3770F" w:rsidRPr="00630693" w:rsidSect="006C055A">
      <w:headerReference w:type="default" r:id="rId6"/>
      <w:footerReference w:type="default" r:id="rId7"/>
      <w:pgSz w:w="11906" w:h="16838" w:code="9"/>
      <w:pgMar w:top="3056" w:right="1134" w:bottom="1797" w:left="1418"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B6A3" w14:textId="77777777" w:rsidR="00346105" w:rsidRDefault="00346105">
      <w:r>
        <w:separator/>
      </w:r>
    </w:p>
  </w:endnote>
  <w:endnote w:type="continuationSeparator" w:id="0">
    <w:p w14:paraId="1F7BA60D" w14:textId="77777777" w:rsidR="00346105" w:rsidRDefault="0034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DBC5" w14:textId="509D4D61" w:rsidR="00BA5180" w:rsidRPr="00EC48C7" w:rsidRDefault="00583390" w:rsidP="00EC48C7">
    <w:pPr>
      <w:pStyle w:val="Fuzeile"/>
      <w:spacing w:before="60" w:line="360" w:lineRule="auto"/>
      <w:rPr>
        <w:sz w:val="14"/>
        <w:szCs w:val="14"/>
      </w:rPr>
    </w:pPr>
    <w:r>
      <w:rPr>
        <w:noProof/>
      </w:rPr>
      <w:drawing>
        <wp:inline distT="0" distB="0" distL="0" distR="0" wp14:anchorId="3D3BDDCC" wp14:editId="3CB8AE5B">
          <wp:extent cx="5934075" cy="276225"/>
          <wp:effectExtent l="0" t="0" r="9525" b="9525"/>
          <wp:docPr id="2" name="Bild 2" descr="Fußzeile_Lange_Gasse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ßzeile_Lange_Gasse_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276225"/>
                  </a:xfrm>
                  <a:prstGeom prst="rect">
                    <a:avLst/>
                  </a:prstGeom>
                  <a:noFill/>
                  <a:ln>
                    <a:noFill/>
                  </a:ln>
                </pic:spPr>
              </pic:pic>
            </a:graphicData>
          </a:graphic>
        </wp:inline>
      </w:drawing>
    </w:r>
    <w:r w:rsidR="00A93F46" w:rsidRPr="00EC48C7">
      <w:rPr>
        <w:sz w:val="14"/>
        <w:szCs w:val="14"/>
      </w:rPr>
      <w:t>2018_10_0</w:t>
    </w:r>
    <w:r w:rsidR="00C918BA" w:rsidRPr="00EC48C7">
      <w:rPr>
        <w:sz w:val="14"/>
        <w:szCs w:val="14"/>
      </w:rPr>
      <w:t>1</w:t>
    </w:r>
    <w:r w:rsidR="00EC48C7" w:rsidRPr="00EC48C7">
      <w:rPr>
        <w:sz w:val="14"/>
        <w:szCs w:val="14"/>
      </w:rPr>
      <w:tab/>
    </w:r>
    <w:r w:rsidR="00EC48C7" w:rsidRPr="00EC48C7">
      <w:rPr>
        <w:sz w:val="14"/>
        <w:szCs w:val="14"/>
      </w:rPr>
      <w:tab/>
    </w:r>
    <w:r w:rsidR="00EC48C7" w:rsidRPr="00EC48C7">
      <w:rPr>
        <w:sz w:val="14"/>
        <w:szCs w:val="14"/>
      </w:rPr>
      <w:tab/>
    </w:r>
    <w:r w:rsidR="00EC48C7" w:rsidRPr="00EC48C7">
      <w:rPr>
        <w:sz w:val="14"/>
        <w:szCs w:val="14"/>
      </w:rPr>
      <w:fldChar w:fldCharType="begin"/>
    </w:r>
    <w:r w:rsidR="00EC48C7" w:rsidRPr="00EC48C7">
      <w:rPr>
        <w:sz w:val="14"/>
        <w:szCs w:val="14"/>
      </w:rPr>
      <w:instrText>PAGE   \* MERGEFORMAT</w:instrText>
    </w:r>
    <w:r w:rsidR="00EC48C7" w:rsidRPr="00EC48C7">
      <w:rPr>
        <w:sz w:val="14"/>
        <w:szCs w:val="14"/>
      </w:rPr>
      <w:fldChar w:fldCharType="separate"/>
    </w:r>
    <w:r w:rsidR="00EC48C7" w:rsidRPr="00EC48C7">
      <w:rPr>
        <w:sz w:val="14"/>
        <w:szCs w:val="14"/>
      </w:rPr>
      <w:t>1</w:t>
    </w:r>
    <w:r w:rsidR="00EC48C7" w:rsidRPr="00EC48C7">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BC88A" w14:textId="77777777" w:rsidR="00346105" w:rsidRDefault="00346105">
      <w:r>
        <w:separator/>
      </w:r>
    </w:p>
  </w:footnote>
  <w:footnote w:type="continuationSeparator" w:id="0">
    <w:p w14:paraId="6F8784CB" w14:textId="77777777" w:rsidR="00346105" w:rsidRDefault="0034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EEB7" w14:textId="77777777" w:rsidR="00470DC5" w:rsidRPr="009D254A" w:rsidRDefault="00583390">
    <w:pPr>
      <w:pStyle w:val="Kopfzeile"/>
      <w:rPr>
        <w:caps/>
        <w:color w:val="777777"/>
        <w:spacing w:val="20"/>
        <w:sz w:val="18"/>
        <w:szCs w:val="18"/>
      </w:rPr>
    </w:pPr>
    <w:r>
      <w:rPr>
        <w:caps/>
        <w:noProof/>
        <w:color w:val="777777"/>
        <w:spacing w:val="20"/>
        <w:sz w:val="18"/>
        <w:szCs w:val="18"/>
      </w:rPr>
      <w:drawing>
        <wp:anchor distT="0" distB="0" distL="114935" distR="114935" simplePos="0" relativeHeight="251657728" behindDoc="0" locked="0" layoutInCell="1" allowOverlap="1" wp14:anchorId="14114808" wp14:editId="76051D24">
          <wp:simplePos x="0" y="0"/>
          <wp:positionH relativeFrom="page">
            <wp:posOffset>4948555</wp:posOffset>
          </wp:positionH>
          <wp:positionV relativeFrom="page">
            <wp:posOffset>683260</wp:posOffset>
          </wp:positionV>
          <wp:extent cx="1895475" cy="647700"/>
          <wp:effectExtent l="0" t="0" r="9525" b="0"/>
          <wp:wrapSquare wrapText="lef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B3A">
      <w:rPr>
        <w:caps/>
        <w:color w:val="777777"/>
        <w:spacing w:val="20"/>
        <w:sz w:val="18"/>
        <w:szCs w:val="18"/>
      </w:rPr>
      <w:t>Institut für Pädagogische Professionalität</w:t>
    </w:r>
    <w:r w:rsidR="00D96B3A">
      <w:rPr>
        <w:caps/>
        <w:color w:val="777777"/>
        <w:spacing w:val="20"/>
        <w:sz w:val="18"/>
        <w:szCs w:val="18"/>
      </w:rPr>
      <w:br/>
      <w:t>&amp; Schulentwicklung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58"/>
    <w:rsid w:val="000B1E4F"/>
    <w:rsid w:val="000E4201"/>
    <w:rsid w:val="000F2836"/>
    <w:rsid w:val="00107015"/>
    <w:rsid w:val="001264F4"/>
    <w:rsid w:val="0012775C"/>
    <w:rsid w:val="001337C2"/>
    <w:rsid w:val="0015057B"/>
    <w:rsid w:val="0016678B"/>
    <w:rsid w:val="001808FB"/>
    <w:rsid w:val="001B10A9"/>
    <w:rsid w:val="001B7935"/>
    <w:rsid w:val="001F40C0"/>
    <w:rsid w:val="001F45E1"/>
    <w:rsid w:val="002021D1"/>
    <w:rsid w:val="00237BB7"/>
    <w:rsid w:val="0028168A"/>
    <w:rsid w:val="00290F95"/>
    <w:rsid w:val="00291504"/>
    <w:rsid w:val="00297A93"/>
    <w:rsid w:val="002E1963"/>
    <w:rsid w:val="002F1558"/>
    <w:rsid w:val="00346105"/>
    <w:rsid w:val="0037259A"/>
    <w:rsid w:val="003C1D12"/>
    <w:rsid w:val="003E4309"/>
    <w:rsid w:val="00434967"/>
    <w:rsid w:val="004370E9"/>
    <w:rsid w:val="00470DC5"/>
    <w:rsid w:val="00475E77"/>
    <w:rsid w:val="00477007"/>
    <w:rsid w:val="00480188"/>
    <w:rsid w:val="004934D1"/>
    <w:rsid w:val="004C1530"/>
    <w:rsid w:val="004C398E"/>
    <w:rsid w:val="004E2562"/>
    <w:rsid w:val="004E78AC"/>
    <w:rsid w:val="00516080"/>
    <w:rsid w:val="00536BED"/>
    <w:rsid w:val="00554993"/>
    <w:rsid w:val="00554F7B"/>
    <w:rsid w:val="00555AFD"/>
    <w:rsid w:val="00575FE2"/>
    <w:rsid w:val="00577F08"/>
    <w:rsid w:val="00580214"/>
    <w:rsid w:val="00582A5C"/>
    <w:rsid w:val="00583390"/>
    <w:rsid w:val="005B00D1"/>
    <w:rsid w:val="005C5251"/>
    <w:rsid w:val="005D1B7C"/>
    <w:rsid w:val="005E1BC0"/>
    <w:rsid w:val="006043CA"/>
    <w:rsid w:val="00630693"/>
    <w:rsid w:val="00654A83"/>
    <w:rsid w:val="00682448"/>
    <w:rsid w:val="00682732"/>
    <w:rsid w:val="00690280"/>
    <w:rsid w:val="006C055A"/>
    <w:rsid w:val="006D2431"/>
    <w:rsid w:val="006F1348"/>
    <w:rsid w:val="007355E3"/>
    <w:rsid w:val="00741170"/>
    <w:rsid w:val="007623BE"/>
    <w:rsid w:val="00775D45"/>
    <w:rsid w:val="007776BE"/>
    <w:rsid w:val="00787271"/>
    <w:rsid w:val="00787CD4"/>
    <w:rsid w:val="00841182"/>
    <w:rsid w:val="008678F1"/>
    <w:rsid w:val="008A2E89"/>
    <w:rsid w:val="008F4B3B"/>
    <w:rsid w:val="00910118"/>
    <w:rsid w:val="00920132"/>
    <w:rsid w:val="009330E5"/>
    <w:rsid w:val="00944ACB"/>
    <w:rsid w:val="00974A95"/>
    <w:rsid w:val="009753FF"/>
    <w:rsid w:val="0097638C"/>
    <w:rsid w:val="00994E66"/>
    <w:rsid w:val="009A756B"/>
    <w:rsid w:val="009D0EDE"/>
    <w:rsid w:val="009D254A"/>
    <w:rsid w:val="00A00E27"/>
    <w:rsid w:val="00A23268"/>
    <w:rsid w:val="00A26744"/>
    <w:rsid w:val="00A303EF"/>
    <w:rsid w:val="00A64111"/>
    <w:rsid w:val="00A93F46"/>
    <w:rsid w:val="00A96599"/>
    <w:rsid w:val="00AC78E2"/>
    <w:rsid w:val="00AE1F51"/>
    <w:rsid w:val="00AF6081"/>
    <w:rsid w:val="00B111C5"/>
    <w:rsid w:val="00B1167E"/>
    <w:rsid w:val="00B1747F"/>
    <w:rsid w:val="00B22699"/>
    <w:rsid w:val="00B2510A"/>
    <w:rsid w:val="00B415BA"/>
    <w:rsid w:val="00B72585"/>
    <w:rsid w:val="00B85120"/>
    <w:rsid w:val="00BA34BC"/>
    <w:rsid w:val="00BA5180"/>
    <w:rsid w:val="00C84C09"/>
    <w:rsid w:val="00C918BA"/>
    <w:rsid w:val="00C930EC"/>
    <w:rsid w:val="00CB4E6F"/>
    <w:rsid w:val="00D12355"/>
    <w:rsid w:val="00D336C8"/>
    <w:rsid w:val="00D53054"/>
    <w:rsid w:val="00D531A1"/>
    <w:rsid w:val="00D60F63"/>
    <w:rsid w:val="00D96B3A"/>
    <w:rsid w:val="00DB6588"/>
    <w:rsid w:val="00DC698E"/>
    <w:rsid w:val="00E1530A"/>
    <w:rsid w:val="00E3770F"/>
    <w:rsid w:val="00E96921"/>
    <w:rsid w:val="00EB72F8"/>
    <w:rsid w:val="00EC00F8"/>
    <w:rsid w:val="00EC4099"/>
    <w:rsid w:val="00EC48C7"/>
    <w:rsid w:val="00ED6F08"/>
    <w:rsid w:val="00EE1AE2"/>
    <w:rsid w:val="00F2296D"/>
    <w:rsid w:val="00F63F77"/>
    <w:rsid w:val="00F7610D"/>
    <w:rsid w:val="00F7662B"/>
    <w:rsid w:val="00F90739"/>
    <w:rsid w:val="00F97FFC"/>
    <w:rsid w:val="00FA3EE9"/>
    <w:rsid w:val="00FC5F98"/>
    <w:rsid w:val="00FD64B0"/>
    <w:rsid w:val="00FE0C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41A180"/>
  <w15:docId w15:val="{16398E19-5BA2-402E-9AAD-4689A6C2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5D45"/>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3E4309"/>
    <w:pPr>
      <w:framePr w:w="4320" w:h="2160" w:hRule="exact" w:hSpace="141" w:wrap="auto" w:hAnchor="page" w:xAlign="center" w:yAlign="bottom"/>
      <w:ind w:left="1"/>
    </w:pPr>
    <w:rPr>
      <w:rFonts w:cs="Arial"/>
    </w:rPr>
  </w:style>
  <w:style w:type="paragraph" w:customStyle="1" w:styleId="Formatvorlage1">
    <w:name w:val="Formatvorlage1"/>
    <w:basedOn w:val="Standard"/>
    <w:rsid w:val="00F7662B"/>
    <w:rPr>
      <w:b/>
      <w:sz w:val="36"/>
      <w:szCs w:val="36"/>
    </w:rPr>
  </w:style>
  <w:style w:type="paragraph" w:styleId="Kopfzeile">
    <w:name w:val="header"/>
    <w:basedOn w:val="Standard"/>
    <w:rsid w:val="00470DC5"/>
    <w:pPr>
      <w:tabs>
        <w:tab w:val="center" w:pos="4536"/>
        <w:tab w:val="right" w:pos="9072"/>
      </w:tabs>
    </w:pPr>
  </w:style>
  <w:style w:type="paragraph" w:styleId="Fuzeile">
    <w:name w:val="footer"/>
    <w:basedOn w:val="Standard"/>
    <w:rsid w:val="00470DC5"/>
    <w:pPr>
      <w:tabs>
        <w:tab w:val="center" w:pos="4536"/>
        <w:tab w:val="right" w:pos="9072"/>
      </w:tabs>
    </w:pPr>
  </w:style>
  <w:style w:type="paragraph" w:styleId="Sprechblasentext">
    <w:name w:val="Balloon Text"/>
    <w:basedOn w:val="Standard"/>
    <w:semiHidden/>
    <w:rsid w:val="00682448"/>
    <w:rPr>
      <w:rFonts w:ascii="Tahoma" w:hAnsi="Tahoma" w:cs="Tahoma"/>
      <w:sz w:val="16"/>
      <w:szCs w:val="16"/>
    </w:rPr>
  </w:style>
  <w:style w:type="character" w:styleId="Hyperlink">
    <w:name w:val="Hyperlink"/>
    <w:basedOn w:val="Absatz-Standardschriftart"/>
    <w:rsid w:val="00475E77"/>
    <w:rPr>
      <w:color w:val="0000FF"/>
      <w:u w:val="single"/>
    </w:rPr>
  </w:style>
  <w:style w:type="table" w:customStyle="1" w:styleId="Tabellengitternetz">
    <w:name w:val="Tabellengitternetz"/>
    <w:basedOn w:val="NormaleTabelle"/>
    <w:rsid w:val="00B25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bsatz-Standardschriftart"/>
    <w:rsid w:val="00630693"/>
  </w:style>
  <w:style w:type="paragraph" w:styleId="Funotentext">
    <w:name w:val="footnote text"/>
    <w:basedOn w:val="Standard"/>
    <w:link w:val="FunotentextZchn"/>
    <w:uiPriority w:val="99"/>
    <w:semiHidden/>
    <w:unhideWhenUsed/>
    <w:rsid w:val="00E3770F"/>
    <w:rPr>
      <w:rFonts w:eastAsia="Calibri"/>
      <w:sz w:val="20"/>
      <w:lang w:eastAsia="en-US"/>
    </w:rPr>
  </w:style>
  <w:style w:type="character" w:customStyle="1" w:styleId="FunotentextZchn">
    <w:name w:val="Fußnotentext Zchn"/>
    <w:basedOn w:val="Absatz-Standardschriftart"/>
    <w:link w:val="Funotentext"/>
    <w:uiPriority w:val="99"/>
    <w:semiHidden/>
    <w:rsid w:val="00E3770F"/>
    <w:rPr>
      <w:rFonts w:ascii="Arial" w:eastAsia="Calibri" w:hAnsi="Arial"/>
      <w:lang w:eastAsia="en-US"/>
    </w:rPr>
  </w:style>
  <w:style w:type="character" w:styleId="Funotenzeichen">
    <w:name w:val="footnote reference"/>
    <w:basedOn w:val="Absatz-Standardschriftart"/>
    <w:uiPriority w:val="99"/>
    <w:semiHidden/>
    <w:unhideWhenUsed/>
    <w:rsid w:val="00E3770F"/>
    <w:rPr>
      <w:rFonts w:ascii="Arial" w:hAnsi="Arial"/>
      <w:sz w:val="18"/>
      <w:vertAlign w:val="superscript"/>
    </w:rPr>
  </w:style>
  <w:style w:type="paragraph" w:customStyle="1" w:styleId="abs">
    <w:name w:val="abs"/>
    <w:basedOn w:val="Standard"/>
    <w:rsid w:val="00654A83"/>
    <w:pPr>
      <w:spacing w:before="100" w:beforeAutospacing="1" w:after="100" w:afterAutospacing="1"/>
    </w:pPr>
    <w:rPr>
      <w:rFonts w:ascii="Times New Roman" w:hAnsi="Times New Roman"/>
      <w:sz w:val="24"/>
      <w:szCs w:val="24"/>
    </w:rPr>
  </w:style>
  <w:style w:type="character" w:customStyle="1" w:styleId="gldsymbol">
    <w:name w:val="gldsymbol"/>
    <w:basedOn w:val="Absatz-Standardschriftart"/>
    <w:rsid w:val="00654A83"/>
  </w:style>
  <w:style w:type="paragraph" w:customStyle="1" w:styleId="ziffere1">
    <w:name w:val="ziffere1"/>
    <w:basedOn w:val="Standard"/>
    <w:rsid w:val="00654A8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97961">
      <w:bodyDiv w:val="1"/>
      <w:marLeft w:val="0"/>
      <w:marRight w:val="0"/>
      <w:marTop w:val="0"/>
      <w:marBottom w:val="0"/>
      <w:divBdr>
        <w:top w:val="none" w:sz="0" w:space="0" w:color="auto"/>
        <w:left w:val="none" w:sz="0" w:space="0" w:color="auto"/>
        <w:bottom w:val="none" w:sz="0" w:space="0" w:color="auto"/>
        <w:right w:val="none" w:sz="0" w:space="0" w:color="auto"/>
      </w:divBdr>
    </w:div>
    <w:div w:id="550118333">
      <w:bodyDiv w:val="1"/>
      <w:marLeft w:val="0"/>
      <w:marRight w:val="0"/>
      <w:marTop w:val="0"/>
      <w:marBottom w:val="0"/>
      <w:divBdr>
        <w:top w:val="none" w:sz="0" w:space="0" w:color="auto"/>
        <w:left w:val="none" w:sz="0" w:space="0" w:color="auto"/>
        <w:bottom w:val="none" w:sz="0" w:space="0" w:color="auto"/>
        <w:right w:val="none" w:sz="0" w:space="0" w:color="auto"/>
      </w:divBdr>
    </w:div>
    <w:div w:id="5584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4709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Agentur</vt:lpstr>
    </vt:vector>
  </TitlesOfParts>
  <Company>pzd</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Agentur</dc:title>
  <dc:creator>Christian</dc:creator>
  <cp:lastModifiedBy>Christian Brunnthaler</cp:lastModifiedBy>
  <cp:revision>17</cp:revision>
  <cp:lastPrinted>2012-11-06T20:41:00Z</cp:lastPrinted>
  <dcterms:created xsi:type="dcterms:W3CDTF">2018-10-01T08:17:00Z</dcterms:created>
  <dcterms:modified xsi:type="dcterms:W3CDTF">2018-10-01T08:38:00Z</dcterms:modified>
</cp:coreProperties>
</file>